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5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2"/>
        <w:gridCol w:w="4803"/>
        <w:tblGridChange w:id="0">
          <w:tblGrid>
            <w:gridCol w:w="4802"/>
            <w:gridCol w:w="4803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angielski w biznesie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– Business English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5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2"/>
        <w:gridCol w:w="4803"/>
        <w:tblGridChange w:id="0">
          <w:tblGrid>
            <w:gridCol w:w="4802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A. Mąka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5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98"/>
        <w:gridCol w:w="2081"/>
        <w:gridCol w:w="2081"/>
        <w:gridCol w:w="3345"/>
        <w:tblGridChange w:id="0">
          <w:tblGrid>
            <w:gridCol w:w="2098"/>
            <w:gridCol w:w="2081"/>
            <w:gridCol w:w="2081"/>
            <w:gridCol w:w="334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II </w:t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5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39"/>
        <w:gridCol w:w="7566"/>
        <w:tblGridChange w:id="0">
          <w:tblGrid>
            <w:gridCol w:w="2039"/>
            <w:gridCol w:w="75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przynajmniej na poziomie B1+.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zdobycie i poszerzenie wiedzy z zakresu języka biznesu, wliczając terminologię specjalistyczną.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rozwijanie sprawności językowych (czytanie, słuchanie, mówienie) w kontekście problemów związanych z szeroko rozumianym biznesem.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opanowanie umiejętności prezentowania oraz swobodnego wypowiadania się na tematy dotyczące m.in. rynku pracy, podstaw (e-)marketingu oraz managementu.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Efekty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975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3190"/>
        <w:tblGridChange w:id="0">
          <w:tblGrid>
            <w:gridCol w:w="920"/>
            <w:gridCol w:w="5640"/>
            <w:gridCol w:w="319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z zakresu języka angielskiego używanego w biznesie.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i wyjaśnia podstawowe zjawiska w szeroko pojętym świecie biznesu używając języka angielskiego biznesowego.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rozwija znajomość terminologii biznesowej poprzez korzystanie ze współczesnych technologii informacyjno-komunikacyjnych.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używa w wypowiedziach ustnych i pisemnych poznane słownictwo i terminologię biznesową.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precyzyjnie i logicznie wypowiada się na tematy związane z szeroko rozumianym biznesem.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K_U05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stosuje słownictwo specjalistyczne do opisu i analizy rynku pracy, sytuacji finansowej, działalności handlowej oraz strategii marketingowych.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organizuje pracę indywidualną i współpracuje w grupie w trakcie zajęć.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K_U08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wyszukuje informacje i wykonuje ćwiczenia rozwijające sprawności językowe oraz znajomość słownictwa specjalistycznego.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poddaje krytycznej ocenie odbierane treści i uzasadnia swoje stanowisko.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akceptuje wartość wiedzy z zakresu biznesu w rozwiązywaniu problemów współczesnego świata.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479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Corporate Culture</w:t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Training and Development</w:t>
            </w:r>
          </w:p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Digital Business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Ethics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Time Management</w:t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Change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Challenges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74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965"/>
        <w:gridCol w:w="3401"/>
        <w:tblGridChange w:id="0">
          <w:tblGrid>
            <w:gridCol w:w="920"/>
            <w:gridCol w:w="2460"/>
            <w:gridCol w:w="2965"/>
            <w:gridCol w:w="3401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Wyjaśnianie poszczególnych zagadanień, słownictwa, praca z tekstem, nagraniem,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odpowiedź ustna, kolokwium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Wyjaśnianie poszczególnych zagadanień, słownictwa, praca z tekstem, nagraniem,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odpowiedź ustna, kolokwium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kolokwium, zapis w arkuszu ocen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grupach, praca ze słownikiem oraz Internetem, dyskusja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kolokwium, odpowiedź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praca z nagraniem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kolokwium, odpowiedź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praca z nagraniem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kolokwium, odpowiedź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studium przypadku,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kolokwium, odpowiedź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kolokwium, test,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praca z nagraniem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kolokwium, odpowiedź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kolokwium, test,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studium przypadku,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test, kolokwium, odpowiedź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kolokwium, test,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praca z nagraniem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test, kolokwium, odpowiedź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kolokwium, test,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praca z nagraniem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test, kolokwium, odpowiedź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kolokwium, test, 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końcowa zależy od kolokwiów (2 w semestrze) oraz przygotowania i aktywności na zajęciach. </w:t>
      </w:r>
    </w:p>
    <w:p w:rsidR="00000000" w:rsidDel="00000000" w:rsidP="00000000" w:rsidRDefault="00000000" w:rsidRPr="00000000" w14:paraId="000000D0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699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39"/>
        <w:tblGridChange w:id="0">
          <w:tblGrid>
            <w:gridCol w:w="4360"/>
            <w:gridCol w:w="433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92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927"/>
        <w:tblGridChange w:id="0">
          <w:tblGrid>
            <w:gridCol w:w="89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Dubicka I. </w:t>
            </w:r>
            <w:r w:rsidDel="00000000" w:rsidR="00000000" w:rsidRPr="00000000">
              <w:rPr>
                <w:i w:val="1"/>
                <w:color w:val="00000a"/>
                <w:sz w:val="22"/>
                <w:szCs w:val="22"/>
                <w:rtl w:val="0"/>
              </w:rPr>
              <w:t xml:space="preserve">Business Partner B2. </w:t>
            </w: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London: Pearson.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Dubicka I. 2018. </w:t>
            </w:r>
            <w:r w:rsidDel="00000000" w:rsidR="00000000" w:rsidRPr="00000000">
              <w:rPr>
                <w:i w:val="1"/>
                <w:color w:val="00000a"/>
                <w:sz w:val="22"/>
                <w:szCs w:val="22"/>
                <w:rtl w:val="0"/>
              </w:rPr>
              <w:t xml:space="preserve">Business Partner B2+. </w:t>
            </w: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London: Pearson.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Mascull, B. 2017.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Business Vocabulary in Use: Intermediate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Mascull, B. 2017.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Vocabulary in Use: Advanced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Press.</w:t>
            </w:r>
          </w:p>
          <w:p w:rsidR="00000000" w:rsidDel="00000000" w:rsidP="00000000" w:rsidRDefault="00000000" w:rsidRPr="00000000" w14:paraId="000000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Mascull, B. 2013.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Natural Business English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Guildford: Delta Publishing.</w:t>
            </w:r>
          </w:p>
          <w:p w:rsidR="00000000" w:rsidDel="00000000" w:rsidP="00000000" w:rsidRDefault="00000000" w:rsidRPr="00000000" w14:paraId="000000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Jendrych, E. 2015.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Business English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Warszawa: C. H. Beck.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3"/>
          <w:tab w:val="left" w:pos="1080"/>
        </w:tabs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a"/>
      <w:sz w:val="24"/>
      <w:szCs w:val="24"/>
      <w:u w:color="00000a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rPr>
      <w:rFonts w:ascii="Calibri" w:cs="Calibri" w:eastAsia="Calibri" w:hAnsi="Calibri"/>
      <w:color w:val="00000a"/>
      <w:sz w:val="24"/>
      <w:szCs w:val="24"/>
      <w:u w:color="00000a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4" w:customStyle="1">
    <w:name w:val="Imported Style 4"/>
    <w:pPr>
      <w:numPr>
        <w:numId w:val="9"/>
      </w:numPr>
    </w:pPr>
  </w:style>
  <w:style w:type="numbering" w:styleId="ImportedStyle5" w:customStyle="1">
    <w:name w:val="Imported Style 5"/>
    <w:pPr>
      <w:numPr>
        <w:numId w:val="13"/>
      </w:numPr>
    </w:pPr>
  </w:style>
  <w:style w:type="numbering" w:styleId="ImportedStyle6" w:customStyle="1">
    <w:name w:val="Imported Style 6"/>
    <w:pPr>
      <w:numPr>
        <w:numId w:val="17"/>
      </w:numPr>
    </w:pPr>
  </w:style>
  <w:style w:type="paragraph" w:styleId="Normal0" w:customStyle="1">
    <w:name w:val="Normal_0"/>
    <w:pPr>
      <w:keepNext w:val="1"/>
      <w:shd w:color="auto" w:fill="ffffff" w:val="clear"/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7" w:customStyle="1">
    <w:name w:val="Imported Style 7"/>
    <w:pPr>
      <w:numPr>
        <w:numId w:val="20"/>
      </w:numPr>
    </w:pPr>
  </w:style>
  <w:style w:type="numbering" w:styleId="ImportedStyle8" w:customStyle="1">
    <w:name w:val="Imported Style 8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 w:val="1"/>
    <w:rsid w:val="00B017F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017F8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YZEr1V580BBUJvGU74arijoQQ==">AMUW2mVHolV6AI4RmFi9DM2w6I8ntoWXoXZUu0y9V6OgsRUxnW6rh3YUw4Ae+6YHagtz3Ei8F2YDT8LCmwzNarsjXvzITPQQaQQ7Ldc4YD5SmV/mY98qRC2TdHMtmA0v2lw3lI4akqU2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2021-09-27T07:04:00Z</dcterms:created>
  <dc:creator>Krzysztof Skórski</dc:creator>
</cp:coreProperties>
</file>