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746.0" w:type="dxa"/>
        <w:jc w:val="left"/>
        <w:tblInd w:w="287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873"/>
        <w:gridCol w:w="4873"/>
        <w:tblGridChange w:id="0">
          <w:tblGrid>
            <w:gridCol w:w="4873"/>
            <w:gridCol w:w="487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Praktyczna nauka języka angielskiego – pisanie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Practical English – writing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niestacjonarne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Językoznawstwo, literaturoznawstwo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46.0" w:type="dxa"/>
        <w:jc w:val="left"/>
        <w:tblInd w:w="287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873"/>
        <w:gridCol w:w="4873"/>
        <w:tblGridChange w:id="0">
          <w:tblGrid>
            <w:gridCol w:w="4873"/>
            <w:gridCol w:w="487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 Sebastian Wasak</w:t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9" w:right="0" w:hanging="17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06.000000000002" w:type="dxa"/>
        <w:jc w:val="left"/>
        <w:tblInd w:w="287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854"/>
        <w:gridCol w:w="1832"/>
        <w:gridCol w:w="1833"/>
        <w:gridCol w:w="3887"/>
        <w:tblGridChange w:id="0">
          <w:tblGrid>
            <w:gridCol w:w="1854"/>
            <w:gridCol w:w="1832"/>
            <w:gridCol w:w="1833"/>
            <w:gridCol w:w="388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I, II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9" w:right="0" w:hanging="17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46.0" w:type="dxa"/>
        <w:jc w:val="left"/>
        <w:tblInd w:w="287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061"/>
        <w:gridCol w:w="7685"/>
        <w:tblGridChange w:id="0">
          <w:tblGrid>
            <w:gridCol w:w="2061"/>
            <w:gridCol w:w="7685"/>
          </w:tblGrid>
        </w:tblGridChange>
      </w:tblGrid>
      <w:tr>
        <w:trPr>
          <w:cantSplit w:val="0"/>
          <w:trHeight w:val="79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znajomości języka angielskiego przynajmniej C1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oraz </w:t>
              <w:br w:type="textWrapping"/>
              <w:t xml:space="preserve">ogólna wiedza filologiczna zdobyta w ramach wcześniejszych kursów studiów I stopnia.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747.0" w:type="dxa"/>
        <w:jc w:val="left"/>
        <w:tblInd w:w="287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747"/>
        <w:tblGridChange w:id="0">
          <w:tblGrid>
            <w:gridCol w:w="974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pomoc studentom w doskonaleniu ich umiejętności pisania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pomoc w pisaniu pracy magisterskiej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wyrabianie zdolności precyzyjnego i przejrzystego artykułowania myśli w piśmie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C4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doskonalenie zdolności krytycznego myślenia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747.0" w:type="dxa"/>
        <w:jc w:val="left"/>
        <w:tblInd w:w="287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7"/>
        <w:gridCol w:w="5271"/>
        <w:gridCol w:w="3549"/>
        <w:tblGridChange w:id="0">
          <w:tblGrid>
            <w:gridCol w:w="927"/>
            <w:gridCol w:w="5271"/>
            <w:gridCol w:w="3549"/>
          </w:tblGrid>
        </w:tblGridChange>
      </w:tblGrid>
      <w:tr>
        <w:trPr>
          <w:cantSplit w:val="0"/>
          <w:trHeight w:val="50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zna w pogłębionym stopniu formę, strukturę i odmiany współczesnego języka angielskiego w szczegółowym odniesieniu do dłuższej wypowiedzi pisemnej w języku angielskim.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K_W06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rozumie, na czym polega plagiat i jak prawidłowo opisać wykorzystane w pracy naukowej źródła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K_W09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46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konstruuje złożone wypowiedzi pisemne w języku angielskim na odpowiednim poziomie biegłości i w odpowiednim rejestrze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K_U04</w:t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wyraża precyzyjnie i logicznie swoje myśli i poglądy w języku angielskim w piśmie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K_U05</w:t>
            </w:r>
          </w:p>
        </w:tc>
      </w:tr>
      <w:tr>
        <w:trPr>
          <w:cantSplit w:val="0"/>
          <w:trHeight w:val="57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przedstawia klarowne pisemne syntezy opracowanych zagadnień, w zakresie wybranych dyscyplin naukowych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K_U07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ocenia krytycznie informacje związane z wybranymi dyscyplinami naukowymi w obrębie kierunku Filologia Angielska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K_K01</w:t>
            </w:r>
          </w:p>
        </w:tc>
      </w:tr>
    </w:tbl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747.0" w:type="dxa"/>
        <w:jc w:val="left"/>
        <w:tblInd w:w="287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747"/>
        <w:tblGridChange w:id="0">
          <w:tblGrid>
            <w:gridCol w:w="9747"/>
          </w:tblGrid>
        </w:tblGridChange>
      </w:tblGrid>
      <w:tr>
        <w:trPr>
          <w:cantSplit w:val="0"/>
          <w:trHeight w:val="69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w obu semestrach łączą jednocześnie wiele elementów, zagadnień i technik z możliwością elastycznego ich łączenia. Cały rok (18 spotkań w dwóch semestrach) obejmuje następujące treści programowe: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 1: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color w:val="262626"/>
                <w:sz w:val="22"/>
                <w:szCs w:val="22"/>
                <w:rtl w:val="0"/>
              </w:rPr>
              <w:t xml:space="preserve"> – Academic style – revision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62626"/>
                <w:sz w:val="22"/>
                <w:szCs w:val="22"/>
                <w:rtl w:val="0"/>
              </w:rPr>
              <w:t xml:space="preserve">2 – Linking phrases and coherence – revision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62626"/>
                <w:sz w:val="22"/>
                <w:szCs w:val="22"/>
                <w:rtl w:val="0"/>
              </w:rPr>
              <w:t xml:space="preserve">3 – Paraphrasing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color w:val="262626"/>
                <w:sz w:val="22"/>
                <w:szCs w:val="22"/>
              </w:rPr>
            </w:pPr>
            <w:r w:rsidDel="00000000" w:rsidR="00000000" w:rsidRPr="00000000">
              <w:rPr>
                <w:color w:val="262626"/>
                <w:sz w:val="22"/>
                <w:szCs w:val="22"/>
                <w:rtl w:val="0"/>
              </w:rPr>
              <w:t xml:space="preserve">4-6 – Summarizing and synthesizing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62626"/>
                <w:sz w:val="22"/>
                <w:szCs w:val="22"/>
                <w:rtl w:val="0"/>
              </w:rPr>
              <w:t xml:space="preserve">7-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color w:val="262626"/>
                <w:sz w:val="22"/>
                <w:szCs w:val="22"/>
                <w:rtl w:val="0"/>
              </w:rPr>
              <w:t xml:space="preserve"> 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color w:val="262626"/>
                <w:sz w:val="22"/>
                <w:szCs w:val="22"/>
                <w:rtl w:val="0"/>
              </w:rPr>
              <w:t xml:space="preserve">Avoiding awkward phrasing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62626"/>
                <w:sz w:val="22"/>
                <w:szCs w:val="22"/>
                <w:rtl w:val="0"/>
              </w:rPr>
              <w:t xml:space="preserve">9 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color w:val="262626"/>
                <w:sz w:val="22"/>
                <w:szCs w:val="22"/>
                <w:rtl w:val="0"/>
              </w:rPr>
              <w:t xml:space="preserve">Credits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 2: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color w:val="262626"/>
                <w:sz w:val="22"/>
                <w:szCs w:val="22"/>
                <w:rtl w:val="0"/>
              </w:rPr>
              <w:t xml:space="preserve">-2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color w:val="262626"/>
                <w:sz w:val="22"/>
                <w:szCs w:val="22"/>
                <w:rtl w:val="0"/>
              </w:rPr>
              <w:t xml:space="preserve">– Grammatical constructions useful in writing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color w:val="262626"/>
                <w:sz w:val="22"/>
                <w:szCs w:val="22"/>
                <w:rtl w:val="0"/>
              </w:rPr>
              <w:t xml:space="preserve">3-5 – A comparative summary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color w:val="262626"/>
                <w:sz w:val="22"/>
                <w:szCs w:val="22"/>
                <w:rtl w:val="0"/>
              </w:rPr>
              <w:t xml:space="preserve"> 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color w:val="262626"/>
                <w:sz w:val="22"/>
                <w:szCs w:val="22"/>
                <w:rtl w:val="0"/>
              </w:rPr>
              <w:t xml:space="preserve">Writing a polemic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color w:val="262626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 – Exam practice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color w:val="262626"/>
                <w:sz w:val="22"/>
                <w:szCs w:val="22"/>
                <w:rtl w:val="0"/>
              </w:rPr>
              <w:t xml:space="preserve"> 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color w:val="262626"/>
                <w:sz w:val="22"/>
                <w:szCs w:val="22"/>
                <w:rtl w:val="0"/>
              </w:rPr>
              <w:t xml:space="preserve">Written English for non-academic purposes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color w:val="262626"/>
                <w:sz w:val="22"/>
                <w:szCs w:val="22"/>
                <w:rtl w:val="0"/>
              </w:rPr>
              <w:t xml:space="preserve"> – Credits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</w:p>
    <w:tbl>
      <w:tblPr>
        <w:tblStyle w:val="Table8"/>
        <w:tblW w:w="9406.0" w:type="dxa"/>
        <w:jc w:val="left"/>
        <w:tblInd w:w="287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7"/>
        <w:gridCol w:w="1986"/>
        <w:gridCol w:w="2683"/>
        <w:gridCol w:w="3810"/>
        <w:tblGridChange w:id="0">
          <w:tblGrid>
            <w:gridCol w:w="927"/>
            <w:gridCol w:w="1986"/>
            <w:gridCol w:w="2683"/>
            <w:gridCol w:w="3810"/>
          </w:tblGrid>
        </w:tblGridChange>
      </w:tblGrid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weryfikacji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Sposoby dokumentacji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miniwykład wprowadzający, 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wyjaśnianie poszczególnych zagadnień, 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Obserwacja/Monitorowanie i informacja zwrotna/Praca pisemna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Oceniona praca pisemna</w:t>
            </w:r>
          </w:p>
        </w:tc>
      </w:tr>
      <w:tr>
        <w:trPr>
          <w:cantSplit w:val="0"/>
          <w:trHeight w:val="104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miniwykład wprowadzający, 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wyjaśnianie poszczególnych zagadnień, 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Obserwacja/Monitorowanie i informacja zwrotna/ Praca pisemna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Oceniona praca pisemna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140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miniwykład wprowadzający, 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wyjaśnianie poszczególnych zagadnień, 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Obserwacja/Monitorowanie i informacja zwrotna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</w:tc>
      </w:tr>
    </w:tbl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79" w:right="0" w:hanging="17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108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</w:t>
      </w:r>
    </w:p>
    <w:p w:rsidR="00000000" w:rsidDel="00000000" w:rsidP="00000000" w:rsidRDefault="00000000" w:rsidRPr="00000000" w14:paraId="000000C0">
      <w:pPr>
        <w:widowControl w:val="0"/>
        <w:spacing w:after="200" w:line="276" w:lineRule="auto"/>
        <w:ind w:lef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Warunkiem zaliczenia przedmiotu jest uczestniczenie w zajęciach oraz zaliczenie na ocenę pozytywną prac pisemnych. </w:t>
      </w:r>
    </w:p>
    <w:p w:rsidR="00000000" w:rsidDel="00000000" w:rsidP="00000000" w:rsidRDefault="00000000" w:rsidRPr="00000000" w14:paraId="000000C1">
      <w:pPr>
        <w:widowControl w:val="0"/>
        <w:spacing w:after="200" w:line="276" w:lineRule="auto"/>
        <w:ind w:lef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Finalna ocena jest wystawiana na podstawie średniej arytmetycznej ocen z prac pisemnych. Pod uwagę brana jest również aktywność studenta podczas zajęć. Dopuszczalne są 2 nieobecności nieusprawiedliwione w semestrze.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Kurs kończy się egzaminem (jest to część końcowego pisemnego egzaminu z Praktycznej Nauki Języka Angielskiego)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b w:val="1"/>
          <w:color w:val="000000"/>
          <w:sz w:val="22"/>
          <w:szCs w:val="22"/>
          <w:u w:val="no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9746.0" w:type="dxa"/>
        <w:jc w:val="left"/>
        <w:tblInd w:w="287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179"/>
        <w:gridCol w:w="5567"/>
        <w:tblGridChange w:id="0">
          <w:tblGrid>
            <w:gridCol w:w="4179"/>
            <w:gridCol w:w="556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126</w:t>
            </w:r>
          </w:p>
        </w:tc>
      </w:tr>
    </w:tbl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747.0" w:type="dxa"/>
        <w:jc w:val="left"/>
        <w:tblInd w:w="287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747"/>
        <w:tblGridChange w:id="0">
          <w:tblGrid>
            <w:gridCol w:w="9747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podstawow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a</w:t>
            </w:r>
          </w:p>
        </w:tc>
      </w:tr>
      <w:tr>
        <w:trPr>
          <w:cantSplit w:val="0"/>
          <w:trHeight w:val="445.92529296875006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F">
            <w:pPr>
              <w:keepLines w:val="1"/>
              <w:spacing w:after="0" w:line="240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Materiały przygotowane przez prowadzącego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0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uzupełniająca</w:t>
            </w:r>
          </w:p>
        </w:tc>
      </w:tr>
      <w:tr>
        <w:trPr>
          <w:cantSplit w:val="0"/>
          <w:trHeight w:val="1549.62646484375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2">
            <w:pPr>
              <w:spacing w:after="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Macpherson, Robin. 1998.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English for Writers and Translators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Warszawa: PWN.</w:t>
              <w:br w:type="textWrapping"/>
              <w:t xml:space="preserve">Cory, Hugh. 1997.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Advanced Writing with English in Use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Oxford: Oxford UP.</w:t>
              <w:br w:type="textWrapping"/>
              <w:t xml:space="preserve">Gibaldi, Joseph. 1999.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MLA Handbook for Writers of Research Papers. Fifth Edition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New York: The MLA of America.</w:t>
              <w:br w:type="textWrapping"/>
              <w:t xml:space="preserve">Rozakis, Laurie. 1999.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Writing Great Research Papers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New York: McGraw-Hill.</w:t>
            </w:r>
          </w:p>
        </w:tc>
      </w:tr>
    </w:tbl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"/>
          <w:tab w:val="left" w:pos="1080"/>
        </w:tabs>
        <w:spacing w:after="20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8"/>
      <w:numFmt w:val="upperRoman"/>
      <w:lvlText w:val="%1."/>
      <w:lvlJc w:val="left"/>
      <w:pPr>
        <w:ind w:left="1080" w:hanging="108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080" w:hanging="36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1800" w:hanging="36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2520" w:hanging="36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240" w:hanging="36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3960" w:hanging="36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4680" w:hanging="36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5400" w:hanging="36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120" w:hanging="36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5"/>
      <w:numFmt w:val="upperRoman"/>
      <w:lvlText w:val="%1."/>
      <w:lvlJc w:val="left"/>
      <w:pPr>
        <w:ind w:left="1080" w:hanging="108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080" w:hanging="36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1800" w:hanging="36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2520" w:hanging="36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240" w:hanging="36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3960" w:hanging="36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4680" w:hanging="36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5400" w:hanging="36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120" w:hanging="36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2"/>
      <w:numFmt w:val="upperRoman"/>
      <w:lvlText w:val="%1."/>
      <w:lvlJc w:val="left"/>
      <w:pPr>
        <w:ind w:left="1080" w:hanging="108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080" w:hanging="36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1800" w:hanging="36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2520" w:hanging="36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240" w:hanging="36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3960" w:hanging="36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4680" w:hanging="36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5400" w:hanging="36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120" w:hanging="36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6"/>
      <w:numFmt w:val="upperRoman"/>
      <w:lvlText w:val="%1."/>
      <w:lvlJc w:val="left"/>
      <w:pPr>
        <w:ind w:left="1080" w:hanging="108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080" w:hanging="36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1800" w:hanging="36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2520" w:hanging="36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240" w:hanging="36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3960" w:hanging="36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4680" w:hanging="36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5400" w:hanging="36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120" w:hanging="36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3"/>
      <w:numFmt w:val="upperRoman"/>
      <w:lvlText w:val="%1."/>
      <w:lvlJc w:val="left"/>
      <w:pPr>
        <w:ind w:left="1080" w:hanging="108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080" w:hanging="36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1800" w:hanging="36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2520" w:hanging="36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240" w:hanging="36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3960" w:hanging="36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4680" w:hanging="36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5400" w:hanging="36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120" w:hanging="36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7"/>
      <w:numFmt w:val="upperRoman"/>
      <w:lvlText w:val="%1."/>
      <w:lvlJc w:val="left"/>
      <w:pPr>
        <w:ind w:left="1080" w:hanging="108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080" w:hanging="36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1800" w:hanging="36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2520" w:hanging="36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240" w:hanging="36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3960" w:hanging="36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4680" w:hanging="36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5400" w:hanging="36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120" w:hanging="36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4"/>
      <w:numFmt w:val="upperRoman"/>
      <w:lvlText w:val="%1."/>
      <w:lvlJc w:val="left"/>
      <w:pPr>
        <w:ind w:left="1080" w:hanging="108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080" w:hanging="36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1800" w:hanging="36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2520" w:hanging="36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240" w:hanging="36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3960" w:hanging="36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4680" w:hanging="36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5400" w:hanging="36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120" w:hanging="36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</w:abstractNum>
  <w:abstractNum w:abstractNumId="8">
    <w:lvl w:ilvl="0">
      <w:start w:val="1"/>
      <w:numFmt w:val="upperRoman"/>
      <w:lvlText w:val="%1."/>
      <w:lvlJc w:val="left"/>
      <w:pPr>
        <w:ind w:left="1080" w:hanging="108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080" w:hanging="36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1800" w:hanging="36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2520" w:hanging="36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240" w:hanging="36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3960" w:hanging="36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4680" w:hanging="36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5400" w:hanging="36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120" w:hanging="36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Pr>
      <w:sz w:val="24"/>
      <w:szCs w:val="24"/>
      <w:lang w:eastAsia="en-US"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cs="Calibri" w:eastAsia="Calibri" w:hAnsi="Calibri"/>
      <w:color w:val="000000"/>
      <w:sz w:val="24"/>
      <w:szCs w:val="24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Body" w:customStyle="1">
    <w:name w:val="Body"/>
    <w:rPr>
      <w:rFonts w:ascii="Calibri" w:cs="Calibri" w:eastAsia="Calibri" w:hAnsi="Calibri"/>
      <w:color w:val="000000"/>
      <w:sz w:val="24"/>
      <w:szCs w:val="24"/>
      <w:u w:color="000000"/>
    </w:rPr>
  </w:style>
  <w:style w:type="numbering" w:styleId="ImportedStyle1" w:customStyle="1">
    <w:name w:val="Imported Style 1"/>
    <w:pPr>
      <w:numPr>
        <w:numId w:val="1"/>
      </w:numPr>
    </w:pPr>
  </w:style>
  <w:style w:type="numbering" w:styleId="ImportedStyle2" w:customStyle="1">
    <w:name w:val="Imported Style 2"/>
    <w:pPr>
      <w:numPr>
        <w:numId w:val="4"/>
      </w:numPr>
    </w:pPr>
  </w:style>
  <w:style w:type="numbering" w:styleId="ImportedStyle3" w:customStyle="1">
    <w:name w:val="Imported Style 3"/>
    <w:pPr>
      <w:numPr>
        <w:numId w:val="6"/>
      </w:numPr>
    </w:pPr>
  </w:style>
  <w:style w:type="numbering" w:styleId="ImportedStyle4" w:customStyle="1">
    <w:name w:val="Imported Style 4"/>
    <w:pPr>
      <w:numPr>
        <w:numId w:val="10"/>
      </w:numPr>
    </w:pPr>
  </w:style>
  <w:style w:type="numbering" w:styleId="ImportedStyle5" w:customStyle="1">
    <w:name w:val="Imported Style 5"/>
    <w:pPr>
      <w:numPr>
        <w:numId w:val="12"/>
      </w:numPr>
    </w:pPr>
  </w:style>
  <w:style w:type="numbering" w:styleId="ImportedStyle6" w:customStyle="1">
    <w:name w:val="Imported Style 6"/>
    <w:pPr>
      <w:numPr>
        <w:numId w:val="15"/>
      </w:numPr>
    </w:pPr>
  </w:style>
  <w:style w:type="numbering" w:styleId="ImportedStyle7" w:customStyle="1">
    <w:name w:val="Imported Style 7"/>
    <w:pPr>
      <w:numPr>
        <w:numId w:val="19"/>
      </w:numPr>
    </w:pPr>
  </w:style>
  <w:style w:type="numbering" w:styleId="ImportedStyle8" w:customStyle="1">
    <w:name w:val="Imported Style 8"/>
    <w:pPr>
      <w:numPr>
        <w:numId w:val="22"/>
      </w:numPr>
    </w:pPr>
  </w:style>
  <w:style w:type="numbering" w:styleId="ImportedStyle9" w:customStyle="1">
    <w:name w:val="Imported Style 9"/>
    <w:pPr>
      <w:numPr>
        <w:numId w:val="25"/>
      </w:numPr>
    </w:pPr>
  </w:style>
  <w:style w:type="numbering" w:styleId="ImportedStyle10" w:customStyle="1">
    <w:name w:val="Imported Style 10"/>
    <w:pPr>
      <w:numPr>
        <w:numId w:val="29"/>
      </w:numPr>
    </w:pPr>
  </w:style>
  <w:style w:type="paragraph" w:styleId="Stopka">
    <w:name w:val="footer"/>
    <w:basedOn w:val="Normalny"/>
    <w:link w:val="StopkaZnak"/>
    <w:uiPriority w:val="99"/>
    <w:unhideWhenUsed w:val="1"/>
    <w:rsid w:val="00355835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355835"/>
    <w:rPr>
      <w:sz w:val="24"/>
      <w:szCs w:val="24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gwDY6Y9iXKJMcEmLS64KGIA/ZA==">AMUW2mV5exOQxvA4vHXGKXw4cRQxc/7xX9ys2O/4jl36ZHe0y6yvP23+rukyHxiHtc7HMLiv+KgI/FTJ8MzvCCXuYfDF8Xte3svn0BHgmsOB37GOwBioXnH3uXzY9GwZbNi9/LBggfmU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2021-09-27T09:11:00Z</dcterms:created>
  <dc:creator>Krzysztof Skórski</dc:creator>
</cp:coreProperties>
</file>