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747.0" w:type="dxa"/>
        <w:jc w:val="left"/>
        <w:tblInd w:w="1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5327"/>
        <w:tblGridChange w:id="0">
          <w:tblGrid>
            <w:gridCol w:w="4420"/>
            <w:gridCol w:w="532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u w:val="none"/>
                <w:rtl w:val="0"/>
              </w:rPr>
              <w:t xml:space="preserve">Praktyczna nauka języka angielskiego-tłumaczenia konsekutywne i symultaniczne angielsko-polskie, polsko-angielskie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Practical English – English-Polish, Polish-English Consecutive and Simultaneous Interpreting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u w:val="none"/>
                <w:rtl w:val="0"/>
              </w:rPr>
              <w:t xml:space="preserve">Językoznawstwo, 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tabs>
          <w:tab w:val="left" w:leader="none" w:pos="1080"/>
        </w:tabs>
        <w:spacing w:after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5327"/>
        <w:tblGridChange w:id="0">
          <w:tblGrid>
            <w:gridCol w:w="4420"/>
            <w:gridCol w:w="532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u w:val="none"/>
                <w:rtl w:val="0"/>
              </w:rPr>
              <w:t xml:space="preserve">dr Ewelina Mokrosz / mgr Oskar Ostaszewski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80"/>
        <w:gridCol w:w="2100"/>
        <w:gridCol w:w="2080"/>
        <w:gridCol w:w="3487"/>
        <w:tblGridChange w:id="0">
          <w:tblGrid>
            <w:gridCol w:w="2080"/>
            <w:gridCol w:w="2100"/>
            <w:gridCol w:w="2080"/>
            <w:gridCol w:w="348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36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III, IV</w:t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ind w:left="108" w:hanging="10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60"/>
        <w:gridCol w:w="7687"/>
        <w:tblGridChange w:id="0">
          <w:tblGrid>
            <w:gridCol w:w="2060"/>
            <w:gridCol w:w="768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Znajomość języka angielskiego na poziomie C1+/C2, wiedza ogólna</w:t>
            </w:r>
          </w:p>
        </w:tc>
      </w:tr>
    </w:tbl>
    <w:p w:rsidR="00000000" w:rsidDel="00000000" w:rsidP="00000000" w:rsidRDefault="00000000" w:rsidRPr="00000000" w14:paraId="00000051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 Nabycie umiejętności tłumaczenia konsekutywnego oraz symultanicznego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 Nabycie umiejętności analizy oraz streszczenia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C3 Nabycie umiejętności pracy w różnych zakresach tematycznych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C4 Doskonalenia pamięci krótkotrwałej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C5 Zapoznanie się z różnymi technikami notacji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C6 Poznanie swoich mocnych i słabszych stron w dziedzinie tłumaczeń symultanicznych</w:t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tabs>
          <w:tab w:val="left" w:leader="none" w:pos="1080"/>
        </w:tabs>
        <w:spacing w:after="200" w:lineRule="auto"/>
        <w:ind w:left="46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38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6"/>
        <w:gridCol w:w="5470"/>
        <w:gridCol w:w="3050"/>
        <w:tblGridChange w:id="0">
          <w:tblGrid>
            <w:gridCol w:w="866"/>
            <w:gridCol w:w="5470"/>
            <w:gridCol w:w="3050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rozpoznaje błędy językowe w tłumaczeniach z uwzględnieniem różnic językowych pomiędzy językiem angielskim i językiem polskim.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u w:val="none"/>
                <w:rtl w:val="0"/>
              </w:rPr>
              <w:t xml:space="preserve">K_W03, K_W06,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identyfikuje prawa autorskie w kontekście tłumaczeń ustnych.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u w:val="none"/>
                <w:rtl w:val="0"/>
              </w:rPr>
              <w:t xml:space="preserve">K_W09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u w:val="none"/>
                <w:rtl w:val="0"/>
              </w:rPr>
              <w:t xml:space="preserve">Student identyfikuje umiejętności potrzebne do wykonywania zawodu tłumacza.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u w:val="none"/>
                <w:rtl w:val="0"/>
              </w:rPr>
              <w:t xml:space="preserve">K_W10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umiejętnie korzysta ze słowników i innych źródeł tekstowych oraz właściwie porządkuje informacje potrzebne do wykonania tłumaczenia tekstu.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u w:val="none"/>
                <w:rtl w:val="0"/>
              </w:rPr>
              <w:t xml:space="preserve">K_U03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tłumaczy ustnie wybrane teksty dotyczące wiedzy ogólnej oraz teksty specjalistyczne przy użyciu odpowiednich technik tłumaczeniowych.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u w:val="none"/>
                <w:rtl w:val="0"/>
              </w:rPr>
              <w:t xml:space="preserve">K_U04, K_U05, K_U06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współpracuje z innymi osobami uczestniczącymi w procesie tłumaczenia zachowując profesjonalizm na płaszczyźnie zawodowej.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u w:val="none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wyciąga wnioski z popełnionych błędów podczas tłumaczenia oraz prezentuje możliwe rozwiązania napotkanych problemów stosując się do zaleceń prowadzącego.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u w:val="none"/>
                <w:rtl w:val="0"/>
              </w:rPr>
              <w:t xml:space="preserve">K_K01, K_K02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podejmuje się tłumaczeń adekwatnych do jego stanu wiedzy i przygotowania.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u w:val="none"/>
                <w:rtl w:val="0"/>
              </w:rPr>
              <w:t xml:space="preserve">K_K03, K_K05, K_K06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widowControl w:val="0"/>
        <w:tabs>
          <w:tab w:val="left" w:leader="none" w:pos="1080"/>
        </w:tabs>
        <w:spacing w:after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06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spacing w:after="200" w:lineRule="auto"/>
              <w:rPr>
                <w:rFonts w:ascii="Times New Roman" w:cs="Times New Roman" w:eastAsia="Times New Roman" w:hAnsi="Times New Roman"/>
                <w:b w:val="1"/>
                <w:color w:val="00000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2"/>
                <w:szCs w:val="22"/>
                <w:u w:val="none"/>
                <w:rtl w:val="0"/>
              </w:rPr>
              <w:t xml:space="preserve">Semestr I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u w:val="none"/>
                <w:rtl w:val="0"/>
              </w:rPr>
              <w:t xml:space="preserve">Tłumaczenie konsekutywne a tłumaczenie symultaniczne, kryteria ewaluacji tłumaczeń ustnych, struktura przemówień, ćwiczenia z przemówieniami – aktywne słuchanie, słowa klucze, streszczanie, przeformułowanie, przygotowanie glosariusza, technika notacji (prezentacja, ćwiczenia).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200" w:lineRule="auto"/>
              <w:rPr>
                <w:rFonts w:ascii="Times New Roman" w:cs="Times New Roman" w:eastAsia="Times New Roman" w:hAnsi="Times New Roman"/>
                <w:b w:val="1"/>
                <w:color w:val="00000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2"/>
                <w:szCs w:val="22"/>
                <w:u w:val="none"/>
                <w:rtl w:val="0"/>
              </w:rPr>
              <w:t xml:space="preserve">Semestr II</w:t>
            </w:r>
          </w:p>
          <w:p w:rsidR="00000000" w:rsidDel="00000000" w:rsidP="00000000" w:rsidRDefault="00000000" w:rsidRPr="00000000" w14:paraId="00000086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u w:val="none"/>
                <w:rtl w:val="0"/>
              </w:rPr>
              <w:t xml:space="preserve">Tłumaczenia symultaniczne – wstęp (shadowing), zapoznanie i ćwiczenie podstawowych umiejętności (podzielność uwagi, analiza,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umiejętność pracy zespołowej, umiejętność przygotowania się do tłumaczenia, strategia antycypacji, przygotowanie glosariusza), tłumaczenie tekstów narracyjnych, argumentacyjnych oraz technicznych o średnim oraz wysokim stopniu terminologizacji.</w:t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pBdr>
          <w:top w:space="0" w:sz="0" w:val="nil"/>
        </w:pBdr>
        <w:tabs>
          <w:tab w:val="left" w:leader="none" w:pos="1080"/>
        </w:tabs>
        <w:spacing w:after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</w:pBdr>
        <w:spacing w:after="200" w:line="276" w:lineRule="auto"/>
        <w:ind w:left="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 V.</w:t>
        <w:tab/>
        <w:t xml:space="preserve">Metody realizacji i weryfikacji efektów uczenia się </w:t>
      </w:r>
    </w:p>
    <w:tbl>
      <w:tblPr>
        <w:tblStyle w:val="Table8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0"/>
        <w:gridCol w:w="2460"/>
        <w:gridCol w:w="2620"/>
        <w:gridCol w:w="3767"/>
        <w:tblGridChange w:id="0">
          <w:tblGrid>
            <w:gridCol w:w="900"/>
            <w:gridCol w:w="2460"/>
            <w:gridCol w:w="2620"/>
            <w:gridCol w:w="3767"/>
          </w:tblGrid>
        </w:tblGridChange>
      </w:tblGrid>
      <w:tr>
        <w:trPr>
          <w:cantSplit w:val="0"/>
          <w:trHeight w:val="20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 praca z tekstem, studium przypadku, 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zagadnień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odpowiedź ustna w czasie zajęć i informacja zwrotna od grupy lub/i prowadzącego; zaliczenia na koniec semestru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nagrane tłumaczenia studentów</w:t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nagrane tłumaczenia studentów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 praca z tekstem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 i informacja zwrotna od grupy lub prowadzącego; zaliczenie na koniec semestru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nagrane tłumaczenia studentów</w:t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0"/>
        <w:gridCol w:w="2460"/>
        <w:gridCol w:w="2620"/>
        <w:gridCol w:w="3767"/>
        <w:tblGridChange w:id="0">
          <w:tblGrid>
            <w:gridCol w:w="900"/>
            <w:gridCol w:w="2460"/>
            <w:gridCol w:w="2620"/>
            <w:gridCol w:w="3767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burza mózgów, dyskusja, praca indywidualna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odpowiedź ustna i informacja zwrotna od grupy lub prowadzącego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 w postaci plusa/minusa, nagrane tłumaczenia studentów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praktyczne, dyskusja, praca indywidualna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odpowiedź ustna i informacja zwrotna od grupy lub prowadzącego, zaliczenie na koniec semestru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nagrane tłumaczenia studentów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 praca w parach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nagrane tłumaczenia studentów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 praca w parach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 i informacja zwrotna od grupy lub prowadzącego; odpowiedź ustna w czasie zajęć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nagrane tłumaczenia studentów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 i informacja zwrotna od grupy lub prowadzącego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nagrane tłumaczenia studentów</w:t>
            </w:r>
          </w:p>
        </w:tc>
      </w:tr>
    </w:tbl>
    <w:p w:rsidR="00000000" w:rsidDel="00000000" w:rsidP="00000000" w:rsidRDefault="00000000" w:rsidRPr="00000000" w14:paraId="000000BD">
      <w:pPr>
        <w:widowControl w:val="0"/>
        <w:tabs>
          <w:tab w:val="left" w:leader="none" w:pos="1080"/>
        </w:tabs>
        <w:spacing w:after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6"/>
        </w:numPr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Kryteria oceny, wagi…</w:t>
      </w:r>
    </w:p>
    <w:p w:rsidR="00000000" w:rsidDel="00000000" w:rsidP="00000000" w:rsidRDefault="00000000" w:rsidRPr="00000000" w14:paraId="000000BF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Studenci oceniani są na podstawie tłumaczeń dwóch przemówień w każdym semestrze. Ocena końcowa w każdym semestrze to średnia ocen z każdego tłumaczenia. Przy ewaluacji tłumaczenia brane są pod uwagę następujące kryteria: treść, poprawność językowa oraz technika prezentacji. W pierwszym semestrze wykonanie dwóch prac domowych oraz podejście do zaliczenia zapewnia na koniec semestru ocenę 3.0.</w:t>
      </w:r>
    </w:p>
    <w:p w:rsidR="00000000" w:rsidDel="00000000" w:rsidP="00000000" w:rsidRDefault="00000000" w:rsidRPr="00000000" w14:paraId="000000C0">
      <w:pPr>
        <w:spacing w:after="100" w:before="100" w:lineRule="auto"/>
        <w:ind w:right="-573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Student ma obowiązek na każde zajęcia (stacjonarne i online) być zaopatrzony w działające prawidłowo słuchawki oraz dyktafon w celu nagrania i odsłuchania własnego tłumaczenia. </w:t>
      </w:r>
    </w:p>
    <w:p w:rsidR="00000000" w:rsidDel="00000000" w:rsidP="00000000" w:rsidRDefault="00000000" w:rsidRPr="00000000" w14:paraId="000000C1">
      <w:pPr>
        <w:spacing w:after="100" w:before="10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 przypadku zajęć online: Dodatkowo student ma obowiązek podczas każdych zajęć używać działających prawidłowo kamery, mikrofonu oraz słuchawek.</w:t>
      </w:r>
    </w:p>
    <w:p w:rsidR="00000000" w:rsidDel="00000000" w:rsidP="00000000" w:rsidRDefault="00000000" w:rsidRPr="00000000" w14:paraId="000000C2">
      <w:pPr>
        <w:spacing w:after="100" w:before="10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Jeśli student przedstawi swoje tłumaczenie, które zostało w istotnym stopniu stworzone przez translator internetowy, skutkuje to otrzymaniem za tę pracę oceny niedostatecznej bez możliwości poprawy.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VII.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5327"/>
        <w:tblGridChange w:id="0">
          <w:tblGrid>
            <w:gridCol w:w="4420"/>
            <w:gridCol w:w="532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u w:val="no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u w:val="none"/>
                <w:rtl w:val="0"/>
              </w:rPr>
              <w:t xml:space="preserve">174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Literatura</w:t>
      </w:r>
    </w:p>
    <w:tbl>
      <w:tblPr>
        <w:tblStyle w:val="Table11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Florczak, J. 2013.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Tłumaczenia symultaniczne i konsekutywne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Warszawa: C.H. Beck Sp. z o.o.</w:t>
            </w:r>
          </w:p>
          <w:p w:rsidR="00000000" w:rsidDel="00000000" w:rsidP="00000000" w:rsidRDefault="00000000" w:rsidRPr="00000000" w14:paraId="000000CF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Gillies, A. 2013.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Conference Interpreting: A Student's Practice Book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New York: Routledge.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00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Giles, D. 2009.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Basic Concepts and Models for Interpreter and Translator Training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Amsterdam/Philadelphia: John Benjamins Publishing Company.</w:t>
            </w:r>
          </w:p>
          <w:p w:rsidR="00000000" w:rsidDel="00000000" w:rsidP="00000000" w:rsidRDefault="00000000" w:rsidRPr="00000000" w14:paraId="000000D2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Korzeniowska, A. 2005.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Successful Polish-English 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Warszawa: Wydaw. Naukowe PWN.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Kozłowska, C. D. 2012.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Difficult words in Polish-English translation = Wyrazy i wyrażenia trudne do przetłumaczenia na język angielski.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Warszawa: Wydawnictwo Naukowe PWN.</w:t>
            </w:r>
          </w:p>
          <w:p w:rsidR="00000000" w:rsidDel="00000000" w:rsidP="00000000" w:rsidRDefault="00000000" w:rsidRPr="00000000" w14:paraId="000000D4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Kruk-Junger, K. 2013.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Przekład ustny środowiskowy: teoria, normy, praktyka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Bielsko-Biała: Wydawnictwo Naukowe Akademii Techniczno-Humanistycznej.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Nolan, J. 2005.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Interpretation. Techniques and exercises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Clevedon, Buffalo, Toronto: Multilingual Matters LTD.</w:t>
            </w:r>
          </w:p>
          <w:p w:rsidR="00000000" w:rsidDel="00000000" w:rsidP="00000000" w:rsidRDefault="00000000" w:rsidRPr="00000000" w14:paraId="000000D6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Tryuk, M. 2006.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Przekład ustny środowiskowy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Warszawa:  Wydawnictwo Naukowe PWN.</w:t>
            </w:r>
          </w:p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Tryuk, M.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Przekład ustny konferencyjny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Warszawa: Wydawnictwo Naukowe PWN.</w:t>
            </w:r>
          </w:p>
        </w:tc>
      </w:tr>
    </w:tbl>
    <w:p w:rsidR="00000000" w:rsidDel="00000000" w:rsidP="00000000" w:rsidRDefault="00000000" w:rsidRPr="00000000" w14:paraId="000000D8">
      <w:pPr>
        <w:widowControl w:val="0"/>
        <w:tabs>
          <w:tab w:val="left" w:leader="none" w:pos="1080"/>
        </w:tabs>
        <w:spacing w:after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5"/>
      </w:numPr>
    </w:pPr>
  </w:style>
  <w:style w:type="numbering" w:styleId="ImportedStyle3" w:customStyle="1">
    <w:name w:val="Imported Style 3"/>
    <w:pPr>
      <w:numPr>
        <w:numId w:val="9"/>
      </w:numPr>
    </w:pPr>
  </w:style>
  <w:style w:type="numbering" w:styleId="ImportedStyle4" w:customStyle="1">
    <w:name w:val="Imported Style 4"/>
    <w:pPr>
      <w:numPr>
        <w:numId w:val="13"/>
      </w:numPr>
    </w:pPr>
  </w:style>
  <w:style w:type="numbering" w:styleId="ImportedStyle5" w:customStyle="1">
    <w:name w:val="Imported Style 5"/>
    <w:pPr>
      <w:numPr>
        <w:numId w:val="17"/>
      </w:numPr>
    </w:pPr>
  </w:style>
  <w:style w:type="numbering" w:styleId="ImportedStyle6" w:customStyle="1">
    <w:name w:val="Imported Style 6"/>
    <w:pPr>
      <w:numPr>
        <w:numId w:val="20"/>
      </w:numPr>
    </w:pPr>
  </w:style>
  <w:style w:type="paragraph" w:styleId="Akapitzlist">
    <w:name w:val="List Paragraph"/>
    <w:pPr>
      <w:ind w:left="720"/>
    </w:pPr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7" w:customStyle="1">
    <w:name w:val="Imported Style 7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 w:val="1"/>
    <w:rsid w:val="00CE7697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E7697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koocijiyYYGIbPUcd4pZ+qWaFQ==">CgMxLjAyCGguZ2pkZ3hzOAByITFiTEZZTUoxaUR1dGd0eWlfbEJTYlFLMC1YM19qNTNpMQ==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2021-09-27T10:49:00Z</dcterms:created>
  <dc:creator>Krzysztof Skórski</dc:creator>
</cp:coreProperties>
</file>